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B5598" w:rsidP="00DB5598" w:rsidRDefault="00DB5598" w14:paraId="54BC1AA2" w14:textId="77777777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  <w:r>
        <w:rPr>
          <w:rFonts w:asciiTheme="minorHAnsi" w:hAnsiTheme="minorHAnsi" w:cstheme="majorHAnsi"/>
          <w:b/>
          <w:bCs/>
          <w:noProof/>
          <w:color w:val="49868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00360E" wp14:editId="1F267953">
            <wp:simplePos x="0" y="0"/>
            <wp:positionH relativeFrom="column">
              <wp:posOffset>1765935</wp:posOffset>
            </wp:positionH>
            <wp:positionV relativeFrom="paragraph">
              <wp:posOffset>62749</wp:posOffset>
            </wp:positionV>
            <wp:extent cx="3176814" cy="77724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1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98" w:rsidP="00DB5598" w:rsidRDefault="00DB5598" w14:paraId="4F569144" w14:textId="77777777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</w:p>
    <w:p w:rsidR="00DB5598" w:rsidP="00DB5598" w:rsidRDefault="00DB5598" w14:paraId="470FC46E" w14:textId="77777777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</w:p>
    <w:p w:rsidR="00DB5598" w:rsidP="00DB5598" w:rsidRDefault="00DB5598" w14:paraId="7AB16D34" w14:textId="77777777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</w:p>
    <w:p w:rsidR="00C35702" w:rsidP="00DB5598" w:rsidRDefault="00C35702" w14:paraId="19E0C55A" w14:textId="77777777">
      <w:pPr>
        <w:pStyle w:val="NormalWeb"/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</w:p>
    <w:p w:rsidRPr="00892B03" w:rsidR="00DB5598" w:rsidP="00DB5598" w:rsidRDefault="00CE5DA8" w14:paraId="03B74C32" w14:textId="40492FA2">
      <w:pPr>
        <w:pStyle w:val="NormalWeb"/>
        <w:pBdr>
          <w:bottom w:val="single" w:color="815F4A" w:sz="4" w:space="1"/>
        </w:pBdr>
        <w:spacing w:before="0" w:beforeAutospacing="0" w:after="0" w:afterAutospacing="0"/>
        <w:rPr>
          <w:rFonts w:asciiTheme="minorHAnsi" w:hAnsiTheme="minorHAnsi" w:cstheme="majorHAnsi"/>
          <w:b/>
          <w:bCs/>
          <w:color w:val="49868E"/>
          <w:sz w:val="36"/>
          <w:szCs w:val="36"/>
        </w:rPr>
      </w:pPr>
      <w:proofErr w:type="spellStart"/>
      <w:r>
        <w:rPr>
          <w:rFonts w:asciiTheme="minorHAnsi" w:hAnsiTheme="minorHAnsi" w:cstheme="majorHAnsi"/>
          <w:b/>
          <w:bCs/>
          <w:color w:val="49868E"/>
          <w:sz w:val="36"/>
          <w:szCs w:val="36"/>
        </w:rPr>
        <w:t>Sculptra</w:t>
      </w:r>
      <w:proofErr w:type="spellEnd"/>
      <w:r>
        <w:rPr>
          <w:rFonts w:asciiTheme="minorHAnsi" w:hAnsiTheme="minorHAnsi" w:cstheme="majorHAnsi"/>
          <w:b/>
          <w:bCs/>
          <w:color w:val="49868E"/>
          <w:sz w:val="36"/>
          <w:szCs w:val="36"/>
        </w:rPr>
        <w:t xml:space="preserve"> Aesthetic Treatment Instructions</w:t>
      </w:r>
    </w:p>
    <w:p w:rsidR="00DB5598" w:rsidRDefault="00CE5DA8" w14:paraId="62D09420" w14:textId="356EEFC7">
      <w:pPr>
        <w:rPr>
          <w:rFonts w:cstheme="minorHAnsi"/>
        </w:rPr>
      </w:pPr>
      <w:r w:rsidRPr="00CE5DA8">
        <w:rPr>
          <w:rFonts w:cstheme="minorHAnsi"/>
          <w:color w:val="000000" w:themeColor="text1"/>
        </w:rPr>
        <w:t xml:space="preserve">The results of </w:t>
      </w:r>
      <w:proofErr w:type="spellStart"/>
      <w:r w:rsidRPr="00CE5DA8">
        <w:rPr>
          <w:rFonts w:cstheme="minorHAnsi"/>
          <w:color w:val="000000" w:themeColor="text1"/>
        </w:rPr>
        <w:t>Sculptra</w:t>
      </w:r>
      <w:proofErr w:type="spellEnd"/>
      <w:r w:rsidRPr="00CE5DA8">
        <w:rPr>
          <w:rFonts w:cstheme="minorHAnsi"/>
          <w:color w:val="000000" w:themeColor="text1"/>
        </w:rPr>
        <w:t xml:space="preserve"> Aesthetic are not immediate. At your first treatment visit, it may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>appear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>that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proofErr w:type="spellStart"/>
      <w:r w:rsidRPr="00CE5DA8">
        <w:rPr>
          <w:rFonts w:cstheme="minorHAnsi"/>
          <w:color w:val="000000" w:themeColor="text1"/>
        </w:rPr>
        <w:t>Sculptra</w:t>
      </w:r>
      <w:proofErr w:type="spellEnd"/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>Aesthetic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>worked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>immediately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>because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>of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>swelling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>from</w:t>
      </w:r>
      <w:r w:rsidRPr="00CE5DA8">
        <w:rPr>
          <w:rFonts w:cstheme="minorHAnsi"/>
          <w:color w:val="000000" w:themeColor="text1"/>
          <w:spacing w:val="-2"/>
        </w:rPr>
        <w:t xml:space="preserve"> </w:t>
      </w:r>
      <w:r w:rsidRPr="00CE5DA8">
        <w:rPr>
          <w:rFonts w:cstheme="minorHAnsi"/>
          <w:color w:val="000000" w:themeColor="text1"/>
        </w:rPr>
        <w:t xml:space="preserve">the injections and the water used to dilute </w:t>
      </w:r>
      <w:proofErr w:type="spellStart"/>
      <w:r w:rsidRPr="00CE5DA8">
        <w:rPr>
          <w:rFonts w:cstheme="minorHAnsi"/>
          <w:color w:val="000000" w:themeColor="text1"/>
        </w:rPr>
        <w:t>Sculptra</w:t>
      </w:r>
      <w:proofErr w:type="spellEnd"/>
      <w:r w:rsidRPr="00CE5DA8">
        <w:rPr>
          <w:rFonts w:cstheme="minorHAnsi"/>
          <w:color w:val="000000" w:themeColor="text1"/>
        </w:rPr>
        <w:t xml:space="preserve"> Aesthetic. A few days following the treatment,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when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the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swelling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goes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down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and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the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water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is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absorbed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by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your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>body,</w:t>
      </w:r>
      <w:r w:rsidRPr="00CE5DA8">
        <w:rPr>
          <w:rFonts w:cstheme="minorHAnsi"/>
          <w:color w:val="000000" w:themeColor="text1"/>
          <w:spacing w:val="-4"/>
        </w:rPr>
        <w:t xml:space="preserve"> </w:t>
      </w:r>
      <w:r w:rsidRPr="00CE5DA8">
        <w:rPr>
          <w:rFonts w:cstheme="minorHAnsi"/>
          <w:color w:val="000000" w:themeColor="text1"/>
        </w:rPr>
        <w:t xml:space="preserve">you may look as you did before your treatment. </w:t>
      </w:r>
      <w:proofErr w:type="spellStart"/>
      <w:r w:rsidRPr="00CE5DA8">
        <w:rPr>
          <w:rFonts w:cstheme="minorHAnsi"/>
          <w:color w:val="000000" w:themeColor="text1"/>
        </w:rPr>
        <w:t>Sculptra</w:t>
      </w:r>
      <w:proofErr w:type="spellEnd"/>
      <w:r w:rsidRPr="00CE5DA8">
        <w:rPr>
          <w:rFonts w:cstheme="minorHAnsi"/>
          <w:color w:val="000000" w:themeColor="text1"/>
        </w:rPr>
        <w:t xml:space="preserve"> Aesthetic takes time to gradually correct the depression in your skin</w:t>
      </w:r>
      <w:r w:rsidRPr="00CE5DA8">
        <w:rPr>
          <w:rFonts w:cstheme="minorHAnsi"/>
        </w:rPr>
        <w:t>.</w:t>
      </w:r>
    </w:p>
    <w:p w:rsidR="00CE5DA8" w:rsidP="00CE5DA8" w:rsidRDefault="00CE5DA8" w14:paraId="09443D3A" w14:textId="77777777">
      <w:pPr>
        <w:pStyle w:val="BodyText"/>
        <w:spacing w:line="204" w:lineRule="auto"/>
        <w:ind w:right="816"/>
        <w:rPr>
          <w:rFonts w:asciiTheme="minorHAnsi" w:hAnsiTheme="minorHAnsi" w:cstheme="minorHAnsi"/>
          <w:sz w:val="24"/>
          <w:szCs w:val="24"/>
        </w:rPr>
      </w:pPr>
    </w:p>
    <w:p w:rsidR="00CE5DA8" w:rsidP="383B9CBE" w:rsidRDefault="00CE5DA8" w14:paraId="71DDB097" w14:textId="092151C4">
      <w:pPr>
        <w:pStyle w:val="BodyTex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Depending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on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the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volume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of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Sculptra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Aesthetic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used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and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the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injection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technique,</w:t>
      </w:r>
      <w:r w:rsidRPr="383B9CBE" w:rsidR="00CE5DA8">
        <w:rPr>
          <w:rFonts w:ascii="Calibri" w:hAnsi="Calibri" w:cs="Calibri" w:asciiTheme="minorAscii" w:hAnsiTheme="minorAscii" w:cstheme="minorAscii"/>
          <w:spacing w:val="-4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the effect of a treatment with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Sculptra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Aesthetic may last up to 2 years,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but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in some cases the duration of the effect can be shorter or longer. Most areas of treatment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will require 2 to 6 sessions, usually at 4-to-6-week intervals, for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optimal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correction. Because individual responses to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Sculptra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Aesthetic therapy may vary, the exact number of treatment sessions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required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cannot be predicted with complete accuracy. Additionally,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in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order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to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maintain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the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desired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degree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of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correction,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intermittent</w:t>
      </w:r>
      <w:r w:rsidRPr="383B9CBE" w:rsidR="00CE5DA8">
        <w:rPr>
          <w:rFonts w:ascii="Calibri" w:hAnsi="Calibri" w:cs="Calibri" w:asciiTheme="minorAscii" w:hAnsiTheme="minorAscii" w:cstheme="minorAscii"/>
          <w:spacing w:val="-5"/>
          <w:sz w:val="24"/>
          <w:szCs w:val="24"/>
        </w:rPr>
        <w:t xml:space="preserve"> </w:t>
      </w:r>
      <w:r w:rsidRPr="383B9CBE" w:rsidR="00CE5DA8">
        <w:rPr>
          <w:rFonts w:ascii="Calibri" w:hAnsi="Calibri" w:cs="Calibri" w:asciiTheme="minorAscii" w:hAnsiTheme="minorAscii" w:cstheme="minorAscii"/>
          <w:sz w:val="24"/>
          <w:szCs w:val="24"/>
        </w:rPr>
        <w:t>“touch- up” treatments may be needed.</w:t>
      </w:r>
    </w:p>
    <w:p w:rsidRPr="00CE5DA8" w:rsidR="00C35702" w:rsidP="00C35702" w:rsidRDefault="00C35702" w14:paraId="486631DB" w14:textId="7777777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Pr="00CE5DA8" w:rsidR="00CE5DA8" w:rsidP="00C35702" w:rsidRDefault="00CE5DA8" w14:paraId="4554DCE6" w14:textId="77777777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Ice</w:t>
      </w:r>
      <w:r w:rsidRPr="00CE5DA8">
        <w:rPr>
          <w:rFonts w:asciiTheme="minorHAnsi" w:hAnsiTheme="minorHAnsi" w:cstheme="minorHAnsi"/>
          <w:spacing w:val="-6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packs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may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be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used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during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the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first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24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hours-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10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minutes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on,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10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minutes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pacing w:val="-4"/>
          <w:szCs w:val="24"/>
        </w:rPr>
        <w:t>off.</w:t>
      </w:r>
    </w:p>
    <w:p w:rsidRPr="00CE5DA8" w:rsidR="00CE5DA8" w:rsidP="00C35702" w:rsidRDefault="00CE5DA8" w14:paraId="63AB33BA" w14:textId="77777777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Massage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the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treated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areas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gently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3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to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5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times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per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day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for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3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to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5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minutes,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for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3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to 5 days after the injection to help minimize swelling.</w:t>
      </w:r>
    </w:p>
    <w:p w:rsidRPr="00CE5DA8" w:rsidR="00CE5DA8" w:rsidP="00C35702" w:rsidRDefault="00CE5DA8" w14:paraId="39EC4E0C" w14:textId="77777777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Avoid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laser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treatments,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chemical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peels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or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abrasive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skin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treatments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for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several weeks following treatment.</w:t>
      </w:r>
    </w:p>
    <w:p w:rsidRPr="00CE5DA8" w:rsidR="00CE5DA8" w:rsidP="00C35702" w:rsidRDefault="00CE5DA8" w14:paraId="397AF648" w14:textId="77777777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Aspirin,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NSAIDs,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and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alcohol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should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be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avoided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for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the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first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few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days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 xml:space="preserve">after </w:t>
      </w:r>
      <w:r w:rsidRPr="00CE5DA8">
        <w:rPr>
          <w:rFonts w:asciiTheme="minorHAnsi" w:hAnsiTheme="minorHAnsi" w:cstheme="minorHAnsi"/>
          <w:spacing w:val="-2"/>
          <w:szCs w:val="24"/>
        </w:rPr>
        <w:t>treatment.</w:t>
      </w:r>
    </w:p>
    <w:p w:rsidRPr="00CE5DA8" w:rsidR="00CE5DA8" w:rsidP="00C35702" w:rsidRDefault="00CE5DA8" w14:paraId="3D46EC6B" w14:textId="77777777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Tylenol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may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be</w:t>
      </w:r>
      <w:r w:rsidRPr="00CE5DA8">
        <w:rPr>
          <w:rFonts w:asciiTheme="minorHAnsi" w:hAnsiTheme="minorHAnsi" w:cstheme="minorHAnsi"/>
          <w:spacing w:val="-2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used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for</w:t>
      </w:r>
      <w:r w:rsidRPr="00CE5DA8">
        <w:rPr>
          <w:rFonts w:asciiTheme="minorHAnsi" w:hAnsiTheme="minorHAnsi" w:cstheme="minorHAnsi"/>
          <w:spacing w:val="-3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pain</w:t>
      </w:r>
      <w:r w:rsidRPr="00CE5DA8">
        <w:rPr>
          <w:rFonts w:asciiTheme="minorHAnsi" w:hAnsiTheme="minorHAnsi" w:cstheme="minorHAnsi"/>
          <w:spacing w:val="-2"/>
          <w:szCs w:val="24"/>
        </w:rPr>
        <w:t xml:space="preserve"> control.</w:t>
      </w:r>
    </w:p>
    <w:p w:rsidRPr="00CE5DA8" w:rsidR="00CE5DA8" w:rsidP="00C35702" w:rsidRDefault="00CE5DA8" w14:paraId="64E88A8D" w14:textId="77777777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Exaggerated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movements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of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the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areas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treated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should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be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avoided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for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the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first several days.</w:t>
      </w:r>
    </w:p>
    <w:p w:rsidRPr="00CE5DA8" w:rsidR="00CE5DA8" w:rsidP="00C35702" w:rsidRDefault="00CE5DA8" w14:paraId="48184094" w14:textId="77777777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Avoid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hot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foods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or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gum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chewing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for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the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first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several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hours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as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mouth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trauma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may occur in the anesthetized areas.</w:t>
      </w:r>
    </w:p>
    <w:p w:rsidRPr="00CE5DA8" w:rsidR="00CE5DA8" w:rsidP="00C35702" w:rsidRDefault="00CE5DA8" w14:paraId="6572432F" w14:textId="77777777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If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you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experience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bruising,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you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can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apply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over-the-counter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Arnica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gel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to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 xml:space="preserve">speed </w:t>
      </w:r>
      <w:r w:rsidRPr="00CE5DA8">
        <w:rPr>
          <w:rFonts w:asciiTheme="minorHAnsi" w:hAnsiTheme="minorHAnsi" w:cstheme="minorHAnsi"/>
          <w:spacing w:val="-2"/>
          <w:szCs w:val="24"/>
        </w:rPr>
        <w:t>healing.</w:t>
      </w:r>
    </w:p>
    <w:p w:rsidRPr="00CE5DA8" w:rsidR="00CE5DA8" w:rsidP="00C35702" w:rsidRDefault="00CE5DA8" w14:paraId="6B883E9C" w14:textId="7DCA0298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Exercise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may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proofErr w:type="gramStart"/>
      <w:r w:rsidRPr="00CE5DA8">
        <w:rPr>
          <w:rFonts w:asciiTheme="minorHAnsi" w:hAnsiTheme="minorHAnsi" w:cstheme="minorHAnsi"/>
          <w:szCs w:val="24"/>
        </w:rPr>
        <w:t>actually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increase</w:t>
      </w:r>
      <w:proofErr w:type="gramEnd"/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the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response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to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this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product,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and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we</w:t>
      </w:r>
      <w:r w:rsidRPr="00CE5DA8">
        <w:rPr>
          <w:rFonts w:asciiTheme="minorHAnsi" w:hAnsiTheme="minorHAnsi" w:cstheme="minorHAnsi"/>
          <w:spacing w:val="-5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encourage this starting the day after the procedure.</w:t>
      </w:r>
    </w:p>
    <w:p w:rsidRPr="00CE5DA8" w:rsidR="00CE5DA8" w:rsidP="00C35702" w:rsidRDefault="00CE5DA8" w14:paraId="64D6CD06" w14:textId="77777777">
      <w:pPr>
        <w:pStyle w:val="ListParagraph"/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after="0"/>
        <w:ind w:left="187" w:hanging="187"/>
        <w:contextualSpacing w:val="0"/>
        <w:rPr>
          <w:rFonts w:asciiTheme="minorHAnsi" w:hAnsiTheme="minorHAnsi" w:cstheme="minorHAnsi"/>
          <w:szCs w:val="24"/>
        </w:rPr>
      </w:pPr>
      <w:r w:rsidRPr="00CE5DA8">
        <w:rPr>
          <w:rFonts w:asciiTheme="minorHAnsi" w:hAnsiTheme="minorHAnsi" w:cstheme="minorHAnsi"/>
          <w:szCs w:val="24"/>
        </w:rPr>
        <w:t>Minimize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exposure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of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the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treatment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area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to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sun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and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avoid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UV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lamp</w:t>
      </w:r>
      <w:r w:rsidRPr="00CE5DA8">
        <w:rPr>
          <w:rFonts w:asciiTheme="minorHAnsi" w:hAnsiTheme="minorHAnsi" w:cstheme="minorHAnsi"/>
          <w:spacing w:val="-4"/>
          <w:szCs w:val="24"/>
        </w:rPr>
        <w:t xml:space="preserve"> </w:t>
      </w:r>
      <w:r w:rsidRPr="00CE5DA8">
        <w:rPr>
          <w:rFonts w:asciiTheme="minorHAnsi" w:hAnsiTheme="minorHAnsi" w:cstheme="minorHAnsi"/>
          <w:szCs w:val="24"/>
        </w:rPr>
        <w:t>exposure until any initial swelling and redness has resolved.</w:t>
      </w:r>
    </w:p>
    <w:p w:rsidRPr="00CE5DA8" w:rsidR="00CE5DA8" w:rsidRDefault="00CE5DA8" w14:paraId="49CC89DC" w14:textId="77777777">
      <w:pPr>
        <w:rPr>
          <w:rFonts w:cstheme="minorHAnsi"/>
        </w:rPr>
      </w:pPr>
    </w:p>
    <w:sectPr w:rsidRPr="00CE5DA8" w:rsidR="00CE5DA8" w:rsidSect="002C3AD2"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FA4" w:rsidRDefault="00B54FA4" w14:paraId="0810536E" w14:textId="77777777">
      <w:r>
        <w:separator/>
      </w:r>
    </w:p>
  </w:endnote>
  <w:endnote w:type="continuationSeparator" w:id="0">
    <w:p w:rsidR="00B54FA4" w:rsidRDefault="00B54FA4" w14:paraId="1BA6D7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1DC5" w:rsidR="00D6749C" w:rsidP="00D6749C" w:rsidRDefault="00DB5598" w14:paraId="22092E82" w14:textId="77777777">
    <w:pPr>
      <w:pStyle w:val="Footer"/>
      <w:rPr>
        <w:rFonts w:ascii="Calibri" w:hAnsi="Calibri" w:cs="Calibri"/>
        <w:color w:val="49868E"/>
      </w:rPr>
    </w:pPr>
    <w:r w:rsidRPr="00634D0D">
      <w:rPr>
        <w:rFonts w:ascii="Calibri" w:hAnsi="Calibri" w:cs="Calibri"/>
        <w:color w:val="49868E"/>
      </w:rPr>
      <w:ptab w:alignment="center" w:relativeTo="margin" w:leader="none"/>
    </w:r>
    <w:r w:rsidRPr="00634D0D">
      <w:rPr>
        <w:rFonts w:ascii="Calibri" w:hAnsi="Calibri" w:cs="Calibri"/>
        <w:color w:val="49868E"/>
        <w:sz w:val="22"/>
        <w:szCs w:val="22"/>
        <w:bdr w:val="none" w:color="auto" w:sz="0" w:space="0" w:frame="1"/>
      </w:rPr>
      <w:t>13280 </w:t>
    </w:r>
    <w:r w:rsidRPr="00634D0D">
      <w:rPr>
        <w:rStyle w:val="xmarkxqbp3gyve"/>
        <w:rFonts w:ascii="Calibri" w:hAnsi="Calibri" w:cs="Calibri"/>
        <w:color w:val="49868E"/>
        <w:sz w:val="22"/>
        <w:szCs w:val="22"/>
        <w:bdr w:val="none" w:color="auto" w:sz="0" w:space="0" w:frame="1"/>
      </w:rPr>
      <w:t>Evening</w:t>
    </w:r>
    <w:r w:rsidRPr="00634D0D">
      <w:rPr>
        <w:rFonts w:ascii="Calibri" w:hAnsi="Calibri" w:cs="Calibri"/>
        <w:color w:val="49868E"/>
        <w:sz w:val="22"/>
        <w:szCs w:val="22"/>
        <w:bdr w:val="none" w:color="auto" w:sz="0" w:space="0" w:frame="1"/>
      </w:rPr>
      <w:t> </w:t>
    </w:r>
    <w:r w:rsidRPr="00634D0D">
      <w:rPr>
        <w:rStyle w:val="xmarkf5l06dd0j"/>
        <w:rFonts w:ascii="Calibri" w:hAnsi="Calibri" w:cs="Calibri"/>
        <w:color w:val="49868E"/>
        <w:sz w:val="22"/>
        <w:szCs w:val="22"/>
        <w:bdr w:val="none" w:color="auto" w:sz="0" w:space="0" w:frame="1"/>
      </w:rPr>
      <w:t>Creek</w:t>
    </w:r>
    <w:r w:rsidRPr="00634D0D">
      <w:rPr>
        <w:rFonts w:ascii="Calibri" w:hAnsi="Calibri" w:cs="Calibri"/>
        <w:color w:val="49868E"/>
        <w:sz w:val="22"/>
        <w:szCs w:val="22"/>
        <w:bdr w:val="none" w:color="auto" w:sz="0" w:space="0" w:frame="1"/>
      </w:rPr>
      <w:t xml:space="preserve"> Drive South, Suite 225 San Diego, CA  92128 </w:t>
    </w:r>
    <w:r w:rsidRPr="00634D0D">
      <w:rPr>
        <w:rFonts w:ascii="Calibri" w:hAnsi="Calibri" w:cs="Calibri"/>
        <w:color w:val="49868E"/>
      </w:rPr>
      <w:ptab w:alignment="right" w:relativeTo="margin" w:leader="none"/>
    </w:r>
  </w:p>
  <w:p w:rsidRPr="00D6749C" w:rsidR="00D6749C" w:rsidP="00D6749C" w:rsidRDefault="00DB5598" w14:paraId="554A0465" w14:textId="77777777">
    <w:pPr>
      <w:pStyle w:val="Footer"/>
      <w:jc w:val="center"/>
      <w:rPr>
        <w:rFonts w:ascii="Calibri" w:hAnsi="Calibri" w:cs="Calibri"/>
        <w:color w:val="49868E"/>
      </w:rPr>
    </w:pPr>
    <w:r w:rsidRPr="00634D0D">
      <w:rPr>
        <w:rFonts w:ascii="Calibri" w:hAnsi="Calibri" w:cs="Calibri"/>
        <w:color w:val="49868E"/>
      </w:rPr>
      <w:t xml:space="preserve">619-293-7233 www.revive.md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FA4" w:rsidRDefault="00B54FA4" w14:paraId="7A5EAA70" w14:textId="77777777">
      <w:r>
        <w:separator/>
      </w:r>
    </w:p>
  </w:footnote>
  <w:footnote w:type="continuationSeparator" w:id="0">
    <w:p w:rsidR="00B54FA4" w:rsidRDefault="00B54FA4" w14:paraId="2E0D640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3C8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DD971CD"/>
    <w:multiLevelType w:val="multilevel"/>
    <w:tmpl w:val="180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70B131D"/>
    <w:multiLevelType w:val="hybridMultilevel"/>
    <w:tmpl w:val="D7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EB5849"/>
    <w:multiLevelType w:val="hybridMultilevel"/>
    <w:tmpl w:val="7C0076AE"/>
    <w:lvl w:ilvl="0" w:tplc="7D023784">
      <w:numFmt w:val="bullet"/>
      <w:lvlText w:val="•"/>
      <w:lvlJc w:val="left"/>
      <w:pPr>
        <w:ind w:left="120" w:hanging="176"/>
      </w:pPr>
      <w:rPr>
        <w:rFonts w:hint="default" w:ascii="Helvetica" w:hAnsi="Helvetica" w:eastAsia="Helvetica" w:cs="Helvetica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3562CC2">
      <w:numFmt w:val="bullet"/>
      <w:lvlText w:val="•"/>
      <w:lvlJc w:val="left"/>
      <w:pPr>
        <w:ind w:left="1258" w:hanging="176"/>
      </w:pPr>
      <w:rPr>
        <w:rFonts w:hint="default"/>
        <w:lang w:val="en-US" w:eastAsia="en-US" w:bidi="ar-SA"/>
      </w:rPr>
    </w:lvl>
    <w:lvl w:ilvl="2" w:tplc="908E36D0">
      <w:numFmt w:val="bullet"/>
      <w:lvlText w:val="•"/>
      <w:lvlJc w:val="left"/>
      <w:pPr>
        <w:ind w:left="2396" w:hanging="176"/>
      </w:pPr>
      <w:rPr>
        <w:rFonts w:hint="default"/>
        <w:lang w:val="en-US" w:eastAsia="en-US" w:bidi="ar-SA"/>
      </w:rPr>
    </w:lvl>
    <w:lvl w:ilvl="3" w:tplc="181AFF46">
      <w:numFmt w:val="bullet"/>
      <w:lvlText w:val="•"/>
      <w:lvlJc w:val="left"/>
      <w:pPr>
        <w:ind w:left="3534" w:hanging="176"/>
      </w:pPr>
      <w:rPr>
        <w:rFonts w:hint="default"/>
        <w:lang w:val="en-US" w:eastAsia="en-US" w:bidi="ar-SA"/>
      </w:rPr>
    </w:lvl>
    <w:lvl w:ilvl="4" w:tplc="E3BE891E">
      <w:numFmt w:val="bullet"/>
      <w:lvlText w:val="•"/>
      <w:lvlJc w:val="left"/>
      <w:pPr>
        <w:ind w:left="4672" w:hanging="176"/>
      </w:pPr>
      <w:rPr>
        <w:rFonts w:hint="default"/>
        <w:lang w:val="en-US" w:eastAsia="en-US" w:bidi="ar-SA"/>
      </w:rPr>
    </w:lvl>
    <w:lvl w:ilvl="5" w:tplc="BEB480BE">
      <w:numFmt w:val="bullet"/>
      <w:lvlText w:val="•"/>
      <w:lvlJc w:val="left"/>
      <w:pPr>
        <w:ind w:left="5810" w:hanging="176"/>
      </w:pPr>
      <w:rPr>
        <w:rFonts w:hint="default"/>
        <w:lang w:val="en-US" w:eastAsia="en-US" w:bidi="ar-SA"/>
      </w:rPr>
    </w:lvl>
    <w:lvl w:ilvl="6" w:tplc="7D28F958">
      <w:numFmt w:val="bullet"/>
      <w:lvlText w:val="•"/>
      <w:lvlJc w:val="left"/>
      <w:pPr>
        <w:ind w:left="6948" w:hanging="176"/>
      </w:pPr>
      <w:rPr>
        <w:rFonts w:hint="default"/>
        <w:lang w:val="en-US" w:eastAsia="en-US" w:bidi="ar-SA"/>
      </w:rPr>
    </w:lvl>
    <w:lvl w:ilvl="7" w:tplc="52A260FA">
      <w:numFmt w:val="bullet"/>
      <w:lvlText w:val="•"/>
      <w:lvlJc w:val="left"/>
      <w:pPr>
        <w:ind w:left="8086" w:hanging="176"/>
      </w:pPr>
      <w:rPr>
        <w:rFonts w:hint="default"/>
        <w:lang w:val="en-US" w:eastAsia="en-US" w:bidi="ar-SA"/>
      </w:rPr>
    </w:lvl>
    <w:lvl w:ilvl="8" w:tplc="AB4043D2">
      <w:numFmt w:val="bullet"/>
      <w:lvlText w:val="•"/>
      <w:lvlJc w:val="left"/>
      <w:pPr>
        <w:ind w:left="9224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2ACF1337"/>
    <w:multiLevelType w:val="hybridMultilevel"/>
    <w:tmpl w:val="BB425A0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C116121"/>
    <w:multiLevelType w:val="hybridMultilevel"/>
    <w:tmpl w:val="153A988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3E768C3"/>
    <w:multiLevelType w:val="hybridMultilevel"/>
    <w:tmpl w:val="9DC05E4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4902E24"/>
    <w:multiLevelType w:val="hybridMultilevel"/>
    <w:tmpl w:val="9CF270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B80C6B"/>
    <w:multiLevelType w:val="hybridMultilevel"/>
    <w:tmpl w:val="5268E62E"/>
    <w:lvl w:ilvl="0" w:tplc="2EC474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32269482">
    <w:abstractNumId w:val="7"/>
  </w:num>
  <w:num w:numId="2" w16cid:durableId="777529514">
    <w:abstractNumId w:val="6"/>
  </w:num>
  <w:num w:numId="3" w16cid:durableId="57286839">
    <w:abstractNumId w:val="0"/>
  </w:num>
  <w:num w:numId="4" w16cid:durableId="1410540846">
    <w:abstractNumId w:val="4"/>
  </w:num>
  <w:num w:numId="5" w16cid:durableId="1197621249">
    <w:abstractNumId w:val="2"/>
  </w:num>
  <w:num w:numId="6" w16cid:durableId="1893729488">
    <w:abstractNumId w:val="8"/>
  </w:num>
  <w:num w:numId="7" w16cid:durableId="1836722957">
    <w:abstractNumId w:val="5"/>
  </w:num>
  <w:num w:numId="8" w16cid:durableId="1291859086">
    <w:abstractNumId w:val="1"/>
  </w:num>
  <w:num w:numId="9" w16cid:durableId="1769308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98"/>
    <w:rsid w:val="00096736"/>
    <w:rsid w:val="001D6A17"/>
    <w:rsid w:val="00672381"/>
    <w:rsid w:val="00B54FA4"/>
    <w:rsid w:val="00C35702"/>
    <w:rsid w:val="00CE5DA8"/>
    <w:rsid w:val="00D021DF"/>
    <w:rsid w:val="00DB5598"/>
    <w:rsid w:val="00EE65CC"/>
    <w:rsid w:val="00FE400B"/>
    <w:rsid w:val="383B9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9A30"/>
  <w15:chartTrackingRefBased/>
  <w15:docId w15:val="{4A4CD57F-88F9-9742-B686-F5FBD8EC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559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59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55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5598"/>
  </w:style>
  <w:style w:type="character" w:styleId="xmarkxqbp3gyve" w:customStyle="1">
    <w:name w:val="x_markxqbp3gyve"/>
    <w:basedOn w:val="DefaultParagraphFont"/>
    <w:rsid w:val="00DB5598"/>
  </w:style>
  <w:style w:type="character" w:styleId="xmarkf5l06dd0j" w:customStyle="1">
    <w:name w:val="x_markf5l06dd0j"/>
    <w:basedOn w:val="DefaultParagraphFont"/>
    <w:rsid w:val="00DB5598"/>
  </w:style>
  <w:style w:type="paragraph" w:styleId="ListParagraph">
    <w:name w:val="List Paragraph"/>
    <w:basedOn w:val="Normal"/>
    <w:uiPriority w:val="1"/>
    <w:qFormat/>
    <w:rsid w:val="00DB5598"/>
    <w:pPr>
      <w:spacing w:after="200"/>
      <w:ind w:left="720"/>
      <w:contextualSpacing/>
    </w:pPr>
    <w:rPr>
      <w:rFonts w:ascii="Cambria" w:hAnsi="Cambria" w:eastAsia="Cambria" w:cs="Times New Roman"/>
      <w:szCs w:val="20"/>
    </w:rPr>
  </w:style>
  <w:style w:type="paragraph" w:styleId="ListBullet">
    <w:name w:val="List Bullet"/>
    <w:basedOn w:val="Normal"/>
    <w:rsid w:val="00DB5598"/>
    <w:pPr>
      <w:numPr>
        <w:numId w:val="3"/>
      </w:numPr>
      <w:spacing w:after="200" w:line="276" w:lineRule="auto"/>
    </w:pPr>
    <w:rPr>
      <w:rFonts w:ascii="Calibri" w:hAnsi="Calibri" w:eastAsia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E5DA8"/>
    <w:pPr>
      <w:widowControl w:val="0"/>
      <w:autoSpaceDE w:val="0"/>
      <w:autoSpaceDN w:val="0"/>
    </w:pPr>
    <w:rPr>
      <w:rFonts w:ascii="Helvetica" w:hAnsi="Helvetica" w:eastAsia="Helvetica" w:cs="Helvetica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CE5DA8"/>
    <w:rPr>
      <w:rFonts w:ascii="Helvetica" w:hAnsi="Helvetica" w:eastAsia="Helvetica" w:cs="Helvetic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DB37B4586A54EAE3F4A1E40F14A8C" ma:contentTypeVersion="17" ma:contentTypeDescription="Create a new document." ma:contentTypeScope="" ma:versionID="2a5f7ed80cf55aac1b7698e2a126542e">
  <xsd:schema xmlns:xsd="http://www.w3.org/2001/XMLSchema" xmlns:xs="http://www.w3.org/2001/XMLSchema" xmlns:p="http://schemas.microsoft.com/office/2006/metadata/properties" xmlns:ns2="b9ce3e8e-1c6b-4ddf-aacf-55e82098953f" xmlns:ns3="e228d3bc-c257-4da4-bb3b-d712e738abc7" targetNamespace="http://schemas.microsoft.com/office/2006/metadata/properties" ma:root="true" ma:fieldsID="823cb92428bab361d8cd23833055fa8b" ns2:_="" ns3:_="">
    <xsd:import namespace="b9ce3e8e-1c6b-4ddf-aacf-55e82098953f"/>
    <xsd:import namespace="e228d3bc-c257-4da4-bb3b-d712e738a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3e8e-1c6b-4ddf-aacf-55e82098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e92af8-4879-4567-b611-db3c02af5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d3bc-c257-4da4-bb3b-d712e738a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6afbd9-5bbc-4fe9-9634-346a2d54fe65}" ma:internalName="TaxCatchAll" ma:showField="CatchAllData" ma:web="e228d3bc-c257-4da4-bb3b-d712e738a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8d3bc-c257-4da4-bb3b-d712e738abc7" xsi:nil="true"/>
    <lcf76f155ced4ddcb4097134ff3c332f xmlns="b9ce3e8e-1c6b-4ddf-aacf-55e8209895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6AE182-32A5-4892-AADA-5DD7CE8B1DBC}"/>
</file>

<file path=customXml/itemProps2.xml><?xml version="1.0" encoding="utf-8"?>
<ds:datastoreItem xmlns:ds="http://schemas.openxmlformats.org/officeDocument/2006/customXml" ds:itemID="{13636DCF-917F-45D7-B919-3FE89E26E4A1}"/>
</file>

<file path=customXml/itemProps3.xml><?xml version="1.0" encoding="utf-8"?>
<ds:datastoreItem xmlns:ds="http://schemas.openxmlformats.org/officeDocument/2006/customXml" ds:itemID="{8607F041-3EC6-4CA1-AB0A-E7932EADE7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moore</dc:creator>
  <cp:keywords/>
  <dc:description/>
  <cp:lastModifiedBy>NP Susan Brenner</cp:lastModifiedBy>
  <cp:revision>4</cp:revision>
  <dcterms:created xsi:type="dcterms:W3CDTF">2023-07-19T18:30:00Z</dcterms:created>
  <dcterms:modified xsi:type="dcterms:W3CDTF">2023-09-24T21:50:09Z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0x01010071DDB37B4586A54EAE3F4A1E40F14A8C</vt:lpwstr>
  </property>
  <property fmtid="{D5CDD505-2E9C-101B-9397-08002B2CF9AE}" pid="3" name="MediaServiceImageTags">
    <vt:lpwstr/>
  </property>
</Properties>
</file>